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3F" w:rsidRDefault="00C56AF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DEAD2D" wp14:editId="0CA65338">
            <wp:simplePos x="0" y="0"/>
            <wp:positionH relativeFrom="column">
              <wp:posOffset>-19050</wp:posOffset>
            </wp:positionH>
            <wp:positionV relativeFrom="paragraph">
              <wp:posOffset>-619125</wp:posOffset>
            </wp:positionV>
            <wp:extent cx="2024380" cy="657225"/>
            <wp:effectExtent l="0" t="0" r="0" b="9525"/>
            <wp:wrapSquare wrapText="bothSides"/>
            <wp:docPr id="2" name="Picture 2" descr="LSCB Logo Me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CB Logo Me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0858D1" w:rsidRPr="00064344" w:rsidTr="000858D1">
        <w:tc>
          <w:tcPr>
            <w:tcW w:w="9242" w:type="dxa"/>
            <w:gridSpan w:val="2"/>
            <w:shd w:val="clear" w:color="auto" w:fill="D9D9D9" w:themeFill="background1" w:themeFillShade="D9"/>
          </w:tcPr>
          <w:p w:rsidR="000858D1" w:rsidRPr="00064344" w:rsidRDefault="002E7C6A" w:rsidP="000858D1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BRIEFING NOTE:</w:t>
            </w:r>
            <w:r w:rsidR="00BE52D6">
              <w:rPr>
                <w:rFonts w:ascii="Myriad Pro" w:hAnsi="Myriad Pro"/>
                <w:b/>
                <w:sz w:val="24"/>
                <w:szCs w:val="24"/>
              </w:rPr>
              <w:t xml:space="preserve">  </w:t>
            </w:r>
            <w:r w:rsidRPr="00064344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="000858D1" w:rsidRPr="00064344">
              <w:rPr>
                <w:rFonts w:ascii="Myriad Pro" w:hAnsi="Myriad Pro"/>
                <w:b/>
                <w:sz w:val="24"/>
                <w:szCs w:val="24"/>
              </w:rPr>
              <w:t>LESSONS FROM SERIOUS CASE REVIEW</w:t>
            </w:r>
            <w:r w:rsidR="00C56AF4">
              <w:rPr>
                <w:rFonts w:ascii="Myriad Pro" w:hAnsi="Myriad Pro"/>
                <w:b/>
                <w:sz w:val="24"/>
                <w:szCs w:val="24"/>
              </w:rPr>
              <w:t xml:space="preserve"> (SCR)</w:t>
            </w:r>
            <w:r w:rsidR="000858D1" w:rsidRPr="00064344">
              <w:rPr>
                <w:rFonts w:ascii="Myriad Pro" w:hAnsi="Myriad Pro"/>
                <w:b/>
                <w:sz w:val="24"/>
                <w:szCs w:val="24"/>
              </w:rPr>
              <w:t xml:space="preserve"> FOR DISSEMINATION</w:t>
            </w:r>
          </w:p>
        </w:tc>
      </w:tr>
      <w:tr w:rsidR="00104E3F" w:rsidRPr="00064344" w:rsidTr="009255AF">
        <w:tc>
          <w:tcPr>
            <w:tcW w:w="4077" w:type="dxa"/>
          </w:tcPr>
          <w:p w:rsidR="00104E3F" w:rsidRPr="00064344" w:rsidRDefault="009255AF" w:rsidP="009255AF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TITLE OF SCR:</w:t>
            </w:r>
          </w:p>
        </w:tc>
        <w:tc>
          <w:tcPr>
            <w:tcW w:w="5165" w:type="dxa"/>
          </w:tcPr>
          <w:p w:rsidR="00104E3F" w:rsidRPr="00064344" w:rsidRDefault="00104E3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04E3F" w:rsidRPr="00064344" w:rsidTr="009255AF">
        <w:tc>
          <w:tcPr>
            <w:tcW w:w="4077" w:type="dxa"/>
          </w:tcPr>
          <w:p w:rsidR="00104E3F" w:rsidRPr="00064344" w:rsidRDefault="00104E3F" w:rsidP="00104E3F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PUBLISHER:</w:t>
            </w:r>
          </w:p>
        </w:tc>
        <w:tc>
          <w:tcPr>
            <w:tcW w:w="5165" w:type="dxa"/>
          </w:tcPr>
          <w:p w:rsidR="00104E3F" w:rsidRPr="00064344" w:rsidRDefault="00104E3F">
            <w:pPr>
              <w:rPr>
                <w:rFonts w:ascii="Myriad Pro" w:hAnsi="Myriad Pro"/>
                <w:sz w:val="24"/>
                <w:szCs w:val="24"/>
              </w:rPr>
            </w:pPr>
            <w:r w:rsidRPr="00064344">
              <w:rPr>
                <w:rFonts w:ascii="Myriad Pro" w:hAnsi="Myriad Pro"/>
                <w:sz w:val="24"/>
                <w:szCs w:val="24"/>
              </w:rPr>
              <w:t>XXXX SAFEGUARDING CHILDREN BOARD (SCB)</w:t>
            </w:r>
          </w:p>
        </w:tc>
      </w:tr>
      <w:tr w:rsidR="00104E3F" w:rsidRPr="00064344" w:rsidTr="009255AF">
        <w:tc>
          <w:tcPr>
            <w:tcW w:w="4077" w:type="dxa"/>
          </w:tcPr>
          <w:p w:rsidR="00104E3F" w:rsidRPr="00064344" w:rsidRDefault="00104E3F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DATE OF PUBLICATION:</w:t>
            </w:r>
          </w:p>
        </w:tc>
        <w:tc>
          <w:tcPr>
            <w:tcW w:w="5165" w:type="dxa"/>
          </w:tcPr>
          <w:p w:rsidR="00104E3F" w:rsidRPr="00064344" w:rsidRDefault="00104E3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04E3F" w:rsidRPr="00064344" w:rsidTr="009255AF">
        <w:tc>
          <w:tcPr>
            <w:tcW w:w="4077" w:type="dxa"/>
          </w:tcPr>
          <w:p w:rsidR="00104E3F" w:rsidRPr="00064344" w:rsidRDefault="00104E3F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DATE OF CHILD DEATH/INCIDENT:</w:t>
            </w:r>
          </w:p>
        </w:tc>
        <w:tc>
          <w:tcPr>
            <w:tcW w:w="5165" w:type="dxa"/>
          </w:tcPr>
          <w:p w:rsidR="00104E3F" w:rsidRPr="00064344" w:rsidRDefault="00104E3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B6D17" w:rsidRPr="00064344" w:rsidTr="009255AF">
        <w:tc>
          <w:tcPr>
            <w:tcW w:w="4077" w:type="dxa"/>
          </w:tcPr>
          <w:p w:rsidR="006B6D17" w:rsidRPr="00064344" w:rsidRDefault="006B6D17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KEY THEME:  e.g. Neglect, CSE, DV</w:t>
            </w:r>
          </w:p>
        </w:tc>
        <w:tc>
          <w:tcPr>
            <w:tcW w:w="5165" w:type="dxa"/>
          </w:tcPr>
          <w:p w:rsidR="006B6D17" w:rsidRPr="00064344" w:rsidRDefault="006B6D1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104E3F" w:rsidRPr="00064344" w:rsidRDefault="00104E3F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6141"/>
      </w:tblGrid>
      <w:tr w:rsidR="0068607D" w:rsidRPr="00064344" w:rsidTr="002E7C6A">
        <w:tc>
          <w:tcPr>
            <w:tcW w:w="9242" w:type="dxa"/>
            <w:gridSpan w:val="2"/>
            <w:shd w:val="clear" w:color="auto" w:fill="D9D9D9" w:themeFill="background1" w:themeFillShade="D9"/>
          </w:tcPr>
          <w:p w:rsidR="0068607D" w:rsidRPr="00064344" w:rsidRDefault="0068607D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In</w:t>
            </w:r>
            <w:r w:rsidRPr="00064344">
              <w:rPr>
                <w:rFonts w:ascii="Myriad Pro" w:hAnsi="Myriad Pro"/>
                <w:b/>
                <w:sz w:val="24"/>
                <w:szCs w:val="24"/>
                <w:shd w:val="clear" w:color="auto" w:fill="D9D9D9" w:themeFill="background1" w:themeFillShade="D9"/>
              </w:rPr>
              <w:t>troduction</w:t>
            </w:r>
          </w:p>
        </w:tc>
      </w:tr>
      <w:tr w:rsidR="0068607D" w:rsidRPr="00064344" w:rsidTr="0068607D">
        <w:tc>
          <w:tcPr>
            <w:tcW w:w="9242" w:type="dxa"/>
            <w:gridSpan w:val="2"/>
          </w:tcPr>
          <w:p w:rsidR="002F028B" w:rsidRPr="00064344" w:rsidRDefault="002F028B" w:rsidP="0099554F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064344">
              <w:rPr>
                <w:rFonts w:ascii="Myriad Pro" w:hAnsi="Myriad Pro"/>
                <w:sz w:val="24"/>
                <w:szCs w:val="24"/>
              </w:rPr>
              <w:t>Local Safeguarding Children Boards (LSCBs) are required under Regulation 5</w:t>
            </w:r>
            <w:r w:rsidR="00E05307" w:rsidRPr="00064344">
              <w:rPr>
                <w:rFonts w:ascii="Myriad Pro" w:hAnsi="Myriad Pro"/>
                <w:sz w:val="24"/>
                <w:szCs w:val="24"/>
              </w:rPr>
              <w:t>(e)</w:t>
            </w:r>
            <w:r w:rsidRPr="00064344">
              <w:rPr>
                <w:rFonts w:ascii="Myriad Pro" w:hAnsi="Myriad Pro"/>
                <w:sz w:val="24"/>
                <w:szCs w:val="24"/>
              </w:rPr>
              <w:t xml:space="preserve"> of the </w:t>
            </w:r>
            <w:hyperlink r:id="rId9" w:history="1">
              <w:r w:rsidRPr="00064344">
                <w:rPr>
                  <w:rStyle w:val="Hyperlink"/>
                  <w:rFonts w:ascii="Myriad Pro" w:hAnsi="Myriad Pro"/>
                  <w:sz w:val="24"/>
                  <w:szCs w:val="24"/>
                </w:rPr>
                <w:t>Local Safeguarding Board Regulations 2006</w:t>
              </w:r>
            </w:hyperlink>
            <w:r w:rsidRPr="00064344">
              <w:rPr>
                <w:rFonts w:ascii="Myriad Pro" w:hAnsi="Myriad Pro"/>
                <w:sz w:val="24"/>
                <w:szCs w:val="24"/>
              </w:rPr>
              <w:t xml:space="preserve"> to undertake reviews of serious cases in specified circumstances.  Full guidance is provided in Chapter 4 of </w:t>
            </w:r>
            <w:hyperlink r:id="rId10" w:history="1">
              <w:r w:rsidRPr="00064344">
                <w:rPr>
                  <w:rStyle w:val="Hyperlink"/>
                  <w:rFonts w:ascii="Myriad Pro" w:hAnsi="Myriad Pro"/>
                  <w:sz w:val="24"/>
                  <w:szCs w:val="24"/>
                </w:rPr>
                <w:t>Working Together to Safeguard Children</w:t>
              </w:r>
            </w:hyperlink>
            <w:r w:rsidRPr="00064344">
              <w:rPr>
                <w:rFonts w:ascii="Myriad Pro" w:hAnsi="Myriad Pro"/>
                <w:sz w:val="24"/>
                <w:szCs w:val="24"/>
              </w:rPr>
              <w:t>, 2015.</w:t>
            </w:r>
          </w:p>
          <w:p w:rsidR="00730535" w:rsidRDefault="0068607D" w:rsidP="00730535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064344">
              <w:rPr>
                <w:rFonts w:ascii="Myriad Pro" w:hAnsi="Myriad Pro"/>
                <w:sz w:val="24"/>
                <w:szCs w:val="24"/>
              </w:rPr>
              <w:t xml:space="preserve">One of the key </w:t>
            </w:r>
            <w:r w:rsidR="002F028B" w:rsidRPr="00064344">
              <w:rPr>
                <w:rFonts w:ascii="Myriad Pro" w:hAnsi="Myriad Pro"/>
                <w:sz w:val="24"/>
                <w:szCs w:val="24"/>
              </w:rPr>
              <w:t xml:space="preserve">requirements of </w:t>
            </w:r>
            <w:r w:rsidR="00730535">
              <w:rPr>
                <w:rFonts w:ascii="Myriad Pro" w:hAnsi="Myriad Pro"/>
                <w:sz w:val="24"/>
                <w:szCs w:val="24"/>
              </w:rPr>
              <w:t xml:space="preserve">a SCR </w:t>
            </w:r>
            <w:r w:rsidR="002F028B" w:rsidRPr="00064344">
              <w:rPr>
                <w:rFonts w:ascii="Myriad Pro" w:hAnsi="Myriad Pro"/>
                <w:sz w:val="24"/>
                <w:szCs w:val="24"/>
              </w:rPr>
              <w:t>is to provide learning from what has happened which should be disseminated</w:t>
            </w:r>
            <w:r w:rsidR="00E05307" w:rsidRPr="00064344">
              <w:rPr>
                <w:rFonts w:ascii="Myriad Pro" w:hAnsi="Myriad Pro"/>
                <w:sz w:val="24"/>
                <w:szCs w:val="24"/>
              </w:rPr>
              <w:t xml:space="preserve"> widely across partner agencies in the area where the SCR has been conducted but also </w:t>
            </w:r>
            <w:r w:rsidR="008377D6" w:rsidRPr="00064344">
              <w:rPr>
                <w:rFonts w:ascii="Myriad Pro" w:hAnsi="Myriad Pro"/>
                <w:sz w:val="24"/>
                <w:szCs w:val="24"/>
              </w:rPr>
              <w:t xml:space="preserve">shared with other LSCBs.  This template provides a </w:t>
            </w:r>
            <w:r w:rsidR="00BE52D6">
              <w:rPr>
                <w:rFonts w:ascii="Myriad Pro" w:hAnsi="Myriad Pro"/>
                <w:sz w:val="24"/>
                <w:szCs w:val="24"/>
              </w:rPr>
              <w:t xml:space="preserve">framework for </w:t>
            </w:r>
            <w:r w:rsidR="00730535">
              <w:rPr>
                <w:rFonts w:ascii="Myriad Pro" w:hAnsi="Myriad Pro"/>
                <w:sz w:val="24"/>
                <w:szCs w:val="24"/>
              </w:rPr>
              <w:t xml:space="preserve">completing </w:t>
            </w:r>
            <w:proofErr w:type="spellStart"/>
            <w:r w:rsidR="00730535">
              <w:rPr>
                <w:rFonts w:ascii="Myriad Pro" w:hAnsi="Myriad Pro"/>
                <w:sz w:val="24"/>
                <w:szCs w:val="24"/>
              </w:rPr>
              <w:t>a</w:t>
            </w:r>
            <w:proofErr w:type="spellEnd"/>
            <w:r w:rsidR="00730535">
              <w:rPr>
                <w:rFonts w:ascii="Myriad Pro" w:hAnsi="Myriad Pro"/>
                <w:sz w:val="24"/>
                <w:szCs w:val="24"/>
              </w:rPr>
              <w:t xml:space="preserve"> multi-agency</w:t>
            </w:r>
            <w:r w:rsidR="00BE52D6">
              <w:rPr>
                <w:rFonts w:ascii="Myriad Pro" w:hAnsi="Myriad Pro"/>
                <w:sz w:val="24"/>
                <w:szCs w:val="24"/>
              </w:rPr>
              <w:t xml:space="preserve"> outline </w:t>
            </w:r>
            <w:r w:rsidR="008377D6" w:rsidRPr="00064344">
              <w:rPr>
                <w:rFonts w:ascii="Myriad Pro" w:hAnsi="Myriad Pro"/>
                <w:sz w:val="24"/>
                <w:szCs w:val="24"/>
              </w:rPr>
              <w:t>briefing on a</w:t>
            </w:r>
            <w:r w:rsidR="00BE52D6">
              <w:rPr>
                <w:rFonts w:ascii="Myriad Pro" w:hAnsi="Myriad Pro"/>
                <w:sz w:val="24"/>
                <w:szCs w:val="24"/>
              </w:rPr>
              <w:t xml:space="preserve">ny </w:t>
            </w:r>
            <w:r w:rsidR="008377D6" w:rsidRPr="00064344">
              <w:rPr>
                <w:rFonts w:ascii="Myriad Pro" w:hAnsi="Myriad Pro"/>
                <w:sz w:val="24"/>
                <w:szCs w:val="24"/>
              </w:rPr>
              <w:t>SCR which has been undertaken outside of Redbridge but where there are opportunities to share learning</w:t>
            </w:r>
            <w:r w:rsidR="00BE52D6">
              <w:rPr>
                <w:rFonts w:ascii="Myriad Pro" w:hAnsi="Myriad Pro"/>
                <w:sz w:val="24"/>
                <w:szCs w:val="24"/>
              </w:rPr>
              <w:t xml:space="preserve"> for future safeguarding.  </w:t>
            </w:r>
            <w:bookmarkStart w:id="0" w:name="_GoBack"/>
            <w:bookmarkEnd w:id="0"/>
          </w:p>
          <w:p w:rsidR="0068607D" w:rsidRPr="00064344" w:rsidRDefault="00BE52D6" w:rsidP="00730535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Once completed, the Briefing Note </w:t>
            </w:r>
            <w:r w:rsidR="008377D6" w:rsidRPr="00064344">
              <w:rPr>
                <w:rFonts w:ascii="Myriad Pro" w:hAnsi="Myriad Pro"/>
                <w:sz w:val="24"/>
                <w:szCs w:val="24"/>
              </w:rPr>
              <w:t>is designed to be accessible and used to facilitate discussions both within and across agencies, services and teams that work with children, young people and families.  For further information on</w:t>
            </w:r>
            <w:r w:rsidR="00730535">
              <w:rPr>
                <w:rFonts w:ascii="Myriad Pro" w:hAnsi="Myriad Pro"/>
                <w:sz w:val="24"/>
                <w:szCs w:val="24"/>
              </w:rPr>
              <w:t xml:space="preserve"> how to complete</w:t>
            </w:r>
            <w:r w:rsidR="008377D6" w:rsidRPr="00064344">
              <w:rPr>
                <w:rFonts w:ascii="Myriad Pro" w:hAnsi="Myriad Pro"/>
                <w:sz w:val="24"/>
                <w:szCs w:val="24"/>
              </w:rPr>
              <w:t xml:space="preserve">, please contact Redbridge LSCB via </w:t>
            </w:r>
            <w:hyperlink r:id="rId11" w:history="1">
              <w:r w:rsidR="008377D6" w:rsidRPr="00064344">
                <w:rPr>
                  <w:rStyle w:val="Hyperlink"/>
                  <w:rFonts w:ascii="Myriad Pro" w:hAnsi="Myriad Pro"/>
                  <w:sz w:val="24"/>
                  <w:szCs w:val="24"/>
                </w:rPr>
                <w:t>LSCB@redbridge.gov.uk</w:t>
              </w:r>
            </w:hyperlink>
            <w:r w:rsidR="008377D6" w:rsidRPr="00064344">
              <w:rPr>
                <w:rFonts w:ascii="Myriad Pro" w:hAnsi="Myriad Pro"/>
                <w:sz w:val="24"/>
                <w:szCs w:val="24"/>
              </w:rPr>
              <w:t xml:space="preserve">. </w:t>
            </w:r>
          </w:p>
        </w:tc>
      </w:tr>
      <w:tr w:rsidR="0068607D" w:rsidRPr="00064344" w:rsidTr="002E7C6A">
        <w:tc>
          <w:tcPr>
            <w:tcW w:w="9242" w:type="dxa"/>
            <w:gridSpan w:val="2"/>
            <w:shd w:val="clear" w:color="auto" w:fill="D9D9D9" w:themeFill="background1" w:themeFillShade="D9"/>
          </w:tcPr>
          <w:p w:rsidR="0068607D" w:rsidRPr="00064344" w:rsidRDefault="0068607D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Case Summary</w:t>
            </w:r>
          </w:p>
        </w:tc>
      </w:tr>
      <w:tr w:rsidR="0068607D" w:rsidRPr="00064344" w:rsidTr="0068607D">
        <w:tc>
          <w:tcPr>
            <w:tcW w:w="9242" w:type="dxa"/>
            <w:gridSpan w:val="2"/>
          </w:tcPr>
          <w:p w:rsidR="0068607D" w:rsidRPr="00562434" w:rsidRDefault="0068607D" w:rsidP="00562434">
            <w:pPr>
              <w:shd w:val="clear" w:color="auto" w:fill="FFFFFF" w:themeFill="background1"/>
              <w:rPr>
                <w:rFonts w:ascii="Myriad Pro" w:hAnsi="Myriad Pro"/>
                <w:sz w:val="24"/>
                <w:szCs w:val="24"/>
              </w:rPr>
            </w:pPr>
          </w:p>
          <w:p w:rsidR="008161EA" w:rsidRPr="00562434" w:rsidRDefault="00161D19" w:rsidP="00562434">
            <w:pPr>
              <w:shd w:val="clear" w:color="auto" w:fill="FFFFFF" w:themeFill="background1"/>
              <w:jc w:val="both"/>
              <w:rPr>
                <w:rFonts w:ascii="Myriad Pro" w:hAnsi="Myriad Pro"/>
                <w:i/>
                <w:sz w:val="24"/>
                <w:szCs w:val="24"/>
              </w:rPr>
            </w:pPr>
            <w:r w:rsidRPr="00562434">
              <w:rPr>
                <w:rFonts w:ascii="Myriad Pro" w:hAnsi="Myriad Pro"/>
                <w:i/>
                <w:sz w:val="24"/>
                <w:szCs w:val="24"/>
              </w:rPr>
              <w:t>[</w:t>
            </w:r>
            <w:r w:rsidRPr="00562434">
              <w:rPr>
                <w:rFonts w:ascii="Myriad Pro" w:hAnsi="Myriad Pro"/>
                <w:i/>
                <w:sz w:val="24"/>
                <w:szCs w:val="24"/>
                <w:shd w:val="clear" w:color="auto" w:fill="FFFFFF" w:themeFill="background1"/>
              </w:rPr>
              <w:t xml:space="preserve">Insert a brief summary of the case, including child’s age, </w:t>
            </w:r>
            <w:r w:rsidR="0055702F" w:rsidRPr="00562434">
              <w:rPr>
                <w:rFonts w:ascii="Myriad Pro" w:hAnsi="Myriad Pro"/>
                <w:i/>
                <w:sz w:val="24"/>
                <w:szCs w:val="24"/>
                <w:shd w:val="clear" w:color="auto" w:fill="FFFFFF" w:themeFill="background1"/>
              </w:rPr>
              <w:t>brief family composition and background, services involved,</w:t>
            </w:r>
            <w:r w:rsidR="0055702F" w:rsidRPr="00562434">
              <w:rPr>
                <w:rFonts w:ascii="Myriad Pro" w:hAnsi="Myriad Pro"/>
                <w:i/>
                <w:sz w:val="24"/>
                <w:szCs w:val="24"/>
              </w:rPr>
              <w:t xml:space="preserve"> </w:t>
            </w:r>
            <w:r w:rsidRPr="00562434">
              <w:rPr>
                <w:rFonts w:ascii="Myriad Pro" w:hAnsi="Myriad Pro"/>
                <w:i/>
                <w:sz w:val="24"/>
                <w:szCs w:val="24"/>
              </w:rPr>
              <w:t>key features and description of the incident leading to the SCR.]</w:t>
            </w:r>
          </w:p>
          <w:p w:rsidR="008161EA" w:rsidRPr="00064344" w:rsidRDefault="008161EA">
            <w:pPr>
              <w:rPr>
                <w:rFonts w:ascii="Myriad Pro" w:hAnsi="Myriad Pro"/>
                <w:sz w:val="24"/>
                <w:szCs w:val="24"/>
              </w:rPr>
            </w:pPr>
          </w:p>
          <w:p w:rsidR="008161EA" w:rsidRDefault="008161EA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6B6D17" w:rsidRDefault="006B6D17">
            <w:pPr>
              <w:rPr>
                <w:rFonts w:ascii="Myriad Pro" w:hAnsi="Myriad Pro"/>
                <w:sz w:val="24"/>
                <w:szCs w:val="24"/>
              </w:rPr>
            </w:pPr>
          </w:p>
          <w:p w:rsidR="006B6D17" w:rsidRDefault="006B6D17">
            <w:pPr>
              <w:rPr>
                <w:rFonts w:ascii="Myriad Pro" w:hAnsi="Myriad Pro"/>
                <w:sz w:val="24"/>
                <w:szCs w:val="24"/>
              </w:rPr>
            </w:pPr>
          </w:p>
          <w:p w:rsidR="006B6D17" w:rsidRDefault="006B6D17">
            <w:pPr>
              <w:rPr>
                <w:rFonts w:ascii="Myriad Pro" w:hAnsi="Myriad Pro"/>
                <w:sz w:val="24"/>
                <w:szCs w:val="24"/>
              </w:rPr>
            </w:pPr>
          </w:p>
          <w:p w:rsidR="006B6D17" w:rsidRDefault="006B6D17">
            <w:pPr>
              <w:rPr>
                <w:rFonts w:ascii="Myriad Pro" w:hAnsi="Myriad Pro"/>
                <w:sz w:val="24"/>
                <w:szCs w:val="24"/>
              </w:rPr>
            </w:pPr>
          </w:p>
          <w:p w:rsidR="006B6D17" w:rsidRDefault="006B6D17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  <w:p w:rsidR="00BB10F4" w:rsidRPr="00064344" w:rsidRDefault="00BB10F4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8607D" w:rsidRPr="00064344" w:rsidTr="002E7C6A">
        <w:tc>
          <w:tcPr>
            <w:tcW w:w="9242" w:type="dxa"/>
            <w:gridSpan w:val="2"/>
            <w:shd w:val="clear" w:color="auto" w:fill="D9D9D9" w:themeFill="background1" w:themeFillShade="D9"/>
          </w:tcPr>
          <w:p w:rsidR="0068607D" w:rsidRPr="00064344" w:rsidRDefault="0068607D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lastRenderedPageBreak/>
              <w:t>Key Points of Learning</w:t>
            </w:r>
            <w:r w:rsidR="00BB10F4">
              <w:rPr>
                <w:rFonts w:ascii="Myriad Pro" w:hAnsi="Myriad Pro"/>
                <w:b/>
                <w:sz w:val="24"/>
                <w:szCs w:val="24"/>
              </w:rPr>
              <w:t xml:space="preserve"> for Dissemination </w:t>
            </w:r>
            <w:r w:rsidR="00BB10F4" w:rsidRPr="00562434">
              <w:rPr>
                <w:rFonts w:ascii="Myriad Pro" w:hAnsi="Myriad Pro"/>
                <w:b/>
                <w:i/>
                <w:sz w:val="24"/>
                <w:szCs w:val="24"/>
              </w:rPr>
              <w:t xml:space="preserve">[the headings may be amended </w:t>
            </w:r>
            <w:r w:rsidR="006B6D17">
              <w:rPr>
                <w:rFonts w:ascii="Myriad Pro" w:hAnsi="Myriad Pro"/>
                <w:b/>
                <w:i/>
                <w:sz w:val="24"/>
                <w:szCs w:val="24"/>
              </w:rPr>
              <w:t xml:space="preserve">or marked N/A </w:t>
            </w:r>
            <w:r w:rsidR="00BB10F4" w:rsidRPr="00562434">
              <w:rPr>
                <w:rFonts w:ascii="Myriad Pro" w:hAnsi="Myriad Pro"/>
                <w:b/>
                <w:i/>
                <w:sz w:val="24"/>
                <w:szCs w:val="24"/>
              </w:rPr>
              <w:t>for each</w:t>
            </w:r>
            <w:r w:rsidR="006B6D17">
              <w:rPr>
                <w:rFonts w:ascii="Myriad Pro" w:hAnsi="Myriad Pro"/>
                <w:b/>
                <w:i/>
                <w:sz w:val="24"/>
                <w:szCs w:val="24"/>
              </w:rPr>
              <w:t xml:space="preserve"> individual</w:t>
            </w:r>
            <w:r w:rsidR="00BB10F4" w:rsidRPr="00562434">
              <w:rPr>
                <w:rFonts w:ascii="Myriad Pro" w:hAnsi="Myriad Pro"/>
                <w:b/>
                <w:i/>
                <w:sz w:val="24"/>
                <w:szCs w:val="24"/>
              </w:rPr>
              <w:t xml:space="preserve"> SCR</w:t>
            </w:r>
            <w:r w:rsidR="006B6D17">
              <w:rPr>
                <w:rFonts w:ascii="Myriad Pro" w:hAnsi="Myriad Pro"/>
                <w:b/>
                <w:i/>
                <w:sz w:val="24"/>
                <w:szCs w:val="24"/>
              </w:rPr>
              <w:t xml:space="preserve"> as appropriate</w:t>
            </w:r>
            <w:r w:rsidR="00BB10F4" w:rsidRPr="00562434">
              <w:rPr>
                <w:rFonts w:ascii="Myriad Pro" w:hAnsi="Myriad Pro"/>
                <w:b/>
                <w:i/>
                <w:sz w:val="24"/>
                <w:szCs w:val="24"/>
              </w:rPr>
              <w:t>.]</w:t>
            </w:r>
          </w:p>
        </w:tc>
      </w:tr>
      <w:tr w:rsidR="0068607D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68607D" w:rsidRPr="00064344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68607D" w:rsidRPr="00064344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Referral</w:t>
            </w:r>
          </w:p>
          <w:p w:rsidR="0068607D" w:rsidRPr="00064344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6141" w:type="dxa"/>
          </w:tcPr>
          <w:p w:rsidR="0068607D" w:rsidRPr="00064344" w:rsidRDefault="0068607D" w:rsidP="0068607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31D7C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131D7C" w:rsidRDefault="00131D7C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Assessment</w:t>
            </w:r>
          </w:p>
          <w:p w:rsidR="00A372DA" w:rsidRPr="00064344" w:rsidRDefault="00A372DA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6141" w:type="dxa"/>
          </w:tcPr>
          <w:p w:rsidR="00131D7C" w:rsidRPr="00064344" w:rsidRDefault="00131D7C" w:rsidP="0068607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0006D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B0006D" w:rsidRDefault="00730535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hyperlink r:id="rId12" w:history="1">
              <w:r w:rsidR="00B0006D" w:rsidRPr="004A2517">
                <w:rPr>
                  <w:rStyle w:val="Hyperlink"/>
                  <w:rFonts w:ascii="Myriad Pro" w:hAnsi="Myriad Pro"/>
                  <w:b/>
                  <w:sz w:val="24"/>
                  <w:szCs w:val="24"/>
                </w:rPr>
                <w:t>Disguised Compliance</w:t>
              </w:r>
            </w:hyperlink>
          </w:p>
        </w:tc>
        <w:tc>
          <w:tcPr>
            <w:tcW w:w="6141" w:type="dxa"/>
          </w:tcPr>
          <w:p w:rsidR="00B0006D" w:rsidRPr="00064344" w:rsidRDefault="00B0006D" w:rsidP="0068607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631F3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8631F3" w:rsidRDefault="008631F3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Non-Attendance at Appointments</w:t>
            </w:r>
          </w:p>
        </w:tc>
        <w:tc>
          <w:tcPr>
            <w:tcW w:w="6141" w:type="dxa"/>
          </w:tcPr>
          <w:p w:rsidR="008631F3" w:rsidRPr="00064344" w:rsidRDefault="008631F3" w:rsidP="0068607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8607D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68607D" w:rsidRPr="00064344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Information Sharing</w:t>
            </w:r>
          </w:p>
        </w:tc>
        <w:tc>
          <w:tcPr>
            <w:tcW w:w="6141" w:type="dxa"/>
          </w:tcPr>
          <w:p w:rsidR="00790C12" w:rsidRDefault="00790C12">
            <w:pPr>
              <w:rPr>
                <w:rFonts w:ascii="Myriad Pro" w:hAnsi="Myriad Pro"/>
                <w:sz w:val="24"/>
                <w:szCs w:val="24"/>
              </w:rPr>
            </w:pPr>
          </w:p>
          <w:p w:rsidR="00790C12" w:rsidRPr="00064344" w:rsidRDefault="00790C1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8607D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68607D" w:rsidRPr="00064344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Management accountability/Supervision</w:t>
            </w:r>
          </w:p>
        </w:tc>
        <w:tc>
          <w:tcPr>
            <w:tcW w:w="6141" w:type="dxa"/>
          </w:tcPr>
          <w:p w:rsidR="0068607D" w:rsidRPr="00064344" w:rsidRDefault="0068607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8607D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68607D" w:rsidRPr="00064344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Multi-Agency Working</w:t>
            </w:r>
          </w:p>
        </w:tc>
        <w:tc>
          <w:tcPr>
            <w:tcW w:w="6141" w:type="dxa"/>
          </w:tcPr>
          <w:p w:rsidR="0068607D" w:rsidRDefault="0068607D">
            <w:pPr>
              <w:rPr>
                <w:rFonts w:ascii="Myriad Pro" w:hAnsi="Myriad Pro"/>
                <w:sz w:val="24"/>
                <w:szCs w:val="24"/>
              </w:rPr>
            </w:pPr>
          </w:p>
          <w:p w:rsidR="00790C12" w:rsidRPr="00064344" w:rsidRDefault="00790C1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8607D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68607D" w:rsidRPr="00064344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Practitioner Skills</w:t>
            </w:r>
          </w:p>
        </w:tc>
        <w:tc>
          <w:tcPr>
            <w:tcW w:w="6141" w:type="dxa"/>
          </w:tcPr>
          <w:p w:rsidR="0068607D" w:rsidRDefault="0068607D">
            <w:pPr>
              <w:rPr>
                <w:rFonts w:ascii="Myriad Pro" w:hAnsi="Myriad Pro"/>
                <w:sz w:val="24"/>
                <w:szCs w:val="24"/>
              </w:rPr>
            </w:pPr>
          </w:p>
          <w:p w:rsidR="00790C12" w:rsidRPr="00064344" w:rsidRDefault="00790C1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0006D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A172CA" w:rsidRDefault="00730535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hyperlink r:id="rId13" w:history="1">
              <w:r w:rsidR="00B0006D" w:rsidRPr="004A2517">
                <w:rPr>
                  <w:rStyle w:val="Hyperlink"/>
                  <w:rFonts w:ascii="Myriad Pro" w:hAnsi="Myriad Pro"/>
                  <w:b/>
                  <w:sz w:val="24"/>
                  <w:szCs w:val="24"/>
                </w:rPr>
                <w:t>Professional Dangerousness</w:t>
              </w:r>
            </w:hyperlink>
            <w:r w:rsidR="00A172CA">
              <w:rPr>
                <w:rFonts w:ascii="Myriad Pro" w:hAnsi="Myriad Pro"/>
                <w:b/>
                <w:sz w:val="24"/>
                <w:szCs w:val="24"/>
              </w:rPr>
              <w:t xml:space="preserve"> inc.</w:t>
            </w:r>
          </w:p>
          <w:p w:rsidR="00B0006D" w:rsidRPr="00064344" w:rsidRDefault="00730535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hyperlink r:id="rId14" w:history="1">
              <w:r w:rsidR="00A172CA" w:rsidRPr="004A2517">
                <w:rPr>
                  <w:rStyle w:val="Hyperlink"/>
                  <w:rFonts w:ascii="Myriad Pro" w:hAnsi="Myriad Pro"/>
                  <w:b/>
                  <w:sz w:val="24"/>
                  <w:szCs w:val="24"/>
                </w:rPr>
                <w:t>Wilful Blindness</w:t>
              </w:r>
            </w:hyperlink>
          </w:p>
        </w:tc>
        <w:tc>
          <w:tcPr>
            <w:tcW w:w="6141" w:type="dxa"/>
          </w:tcPr>
          <w:p w:rsidR="00B0006D" w:rsidRDefault="00B0006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0006D" w:rsidRPr="00064344" w:rsidTr="00A372DA">
        <w:trPr>
          <w:trHeight w:val="660"/>
        </w:trPr>
        <w:tc>
          <w:tcPr>
            <w:tcW w:w="3101" w:type="dxa"/>
            <w:shd w:val="clear" w:color="auto" w:fill="D9D9D9" w:themeFill="background1" w:themeFillShade="D9"/>
          </w:tcPr>
          <w:p w:rsidR="00B0006D" w:rsidRPr="00064344" w:rsidRDefault="00B0006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Record Keeping</w:t>
            </w:r>
          </w:p>
        </w:tc>
        <w:tc>
          <w:tcPr>
            <w:tcW w:w="6141" w:type="dxa"/>
          </w:tcPr>
          <w:p w:rsidR="00B0006D" w:rsidRDefault="00B0006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8607D" w:rsidRPr="00064344" w:rsidTr="00A372DA">
        <w:trPr>
          <w:trHeight w:val="660"/>
        </w:trPr>
        <w:tc>
          <w:tcPr>
            <w:tcW w:w="3101" w:type="dxa"/>
            <w:shd w:val="clear" w:color="auto" w:fill="D9D9D9" w:themeFill="background1" w:themeFillShade="D9"/>
          </w:tcPr>
          <w:p w:rsidR="0068607D" w:rsidRPr="00064344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Risk Assessment</w:t>
            </w:r>
          </w:p>
        </w:tc>
        <w:tc>
          <w:tcPr>
            <w:tcW w:w="6141" w:type="dxa"/>
          </w:tcPr>
          <w:p w:rsidR="0068607D" w:rsidRDefault="0068607D">
            <w:pPr>
              <w:rPr>
                <w:rFonts w:ascii="Myriad Pro" w:hAnsi="Myriad Pro"/>
                <w:sz w:val="24"/>
                <w:szCs w:val="24"/>
              </w:rPr>
            </w:pPr>
          </w:p>
          <w:p w:rsidR="00790C12" w:rsidRPr="00064344" w:rsidRDefault="00790C1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8607D" w:rsidRPr="00064344" w:rsidTr="00A372DA">
        <w:tc>
          <w:tcPr>
            <w:tcW w:w="3101" w:type="dxa"/>
            <w:shd w:val="clear" w:color="auto" w:fill="D9D9D9" w:themeFill="background1" w:themeFillShade="D9"/>
          </w:tcPr>
          <w:p w:rsidR="0068607D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Child Centred Practice – Voice of the Child</w:t>
            </w:r>
          </w:p>
          <w:p w:rsidR="00A372DA" w:rsidRPr="00064344" w:rsidRDefault="00A372DA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6141" w:type="dxa"/>
          </w:tcPr>
          <w:p w:rsidR="0068607D" w:rsidRPr="00064344" w:rsidRDefault="0068607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8607D" w:rsidRPr="00064344" w:rsidTr="00A372DA">
        <w:trPr>
          <w:trHeight w:val="420"/>
        </w:trPr>
        <w:tc>
          <w:tcPr>
            <w:tcW w:w="3101" w:type="dxa"/>
            <w:shd w:val="clear" w:color="auto" w:fill="D9D9D9" w:themeFill="background1" w:themeFillShade="D9"/>
          </w:tcPr>
          <w:p w:rsidR="0068607D" w:rsidRPr="00064344" w:rsidRDefault="0068607D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Learning &amp; Development</w:t>
            </w:r>
          </w:p>
        </w:tc>
        <w:tc>
          <w:tcPr>
            <w:tcW w:w="6141" w:type="dxa"/>
          </w:tcPr>
          <w:p w:rsidR="0068607D" w:rsidRDefault="0068607D">
            <w:pPr>
              <w:rPr>
                <w:rFonts w:ascii="Myriad Pro" w:hAnsi="Myriad Pro"/>
                <w:sz w:val="24"/>
                <w:szCs w:val="24"/>
              </w:rPr>
            </w:pPr>
          </w:p>
          <w:p w:rsidR="00790C12" w:rsidRPr="00064344" w:rsidRDefault="00790C1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372DA" w:rsidRPr="00064344" w:rsidTr="00562434">
        <w:trPr>
          <w:trHeight w:val="420"/>
        </w:trPr>
        <w:tc>
          <w:tcPr>
            <w:tcW w:w="3101" w:type="dxa"/>
            <w:shd w:val="clear" w:color="auto" w:fill="D9D9D9" w:themeFill="background1" w:themeFillShade="D9"/>
          </w:tcPr>
          <w:p w:rsidR="00A372DA" w:rsidRDefault="00A372DA" w:rsidP="00A372DA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Service Provision/improvement</w:t>
            </w:r>
          </w:p>
          <w:p w:rsidR="00A372DA" w:rsidRPr="00064344" w:rsidRDefault="00A372DA" w:rsidP="006321A2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6141" w:type="dxa"/>
            <w:shd w:val="clear" w:color="auto" w:fill="auto"/>
          </w:tcPr>
          <w:p w:rsidR="00A372DA" w:rsidRDefault="00A372D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0006D" w:rsidRPr="00064344" w:rsidTr="00562434">
        <w:trPr>
          <w:trHeight w:val="420"/>
        </w:trPr>
        <w:tc>
          <w:tcPr>
            <w:tcW w:w="3101" w:type="dxa"/>
            <w:shd w:val="clear" w:color="auto" w:fill="D9D9D9" w:themeFill="background1" w:themeFillShade="D9"/>
          </w:tcPr>
          <w:p w:rsidR="00B0006D" w:rsidRDefault="00B0006D" w:rsidP="00A372DA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Timeliness</w:t>
            </w:r>
            <w:r w:rsidR="004F658D">
              <w:rPr>
                <w:rFonts w:ascii="Myriad Pro" w:hAnsi="Myriad Pro"/>
                <w:b/>
                <w:sz w:val="24"/>
                <w:szCs w:val="24"/>
              </w:rPr>
              <w:t xml:space="preserve"> and Missed Opportunities</w:t>
            </w:r>
          </w:p>
        </w:tc>
        <w:tc>
          <w:tcPr>
            <w:tcW w:w="6141" w:type="dxa"/>
            <w:shd w:val="clear" w:color="auto" w:fill="auto"/>
          </w:tcPr>
          <w:p w:rsidR="00B0006D" w:rsidRDefault="00B0006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042FD" w:rsidRPr="00064344" w:rsidTr="00B042FD">
        <w:trPr>
          <w:trHeight w:val="420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B042FD" w:rsidRPr="00B042FD" w:rsidRDefault="00B042FD" w:rsidP="00B042FD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B042FD">
              <w:rPr>
                <w:rFonts w:ascii="Myriad Pro" w:hAnsi="Myriad Pro"/>
                <w:b/>
                <w:sz w:val="24"/>
                <w:szCs w:val="24"/>
              </w:rPr>
              <w:t>Actions for Redbridge LSCB</w:t>
            </w:r>
            <w:r>
              <w:rPr>
                <w:rFonts w:ascii="Myriad Pro" w:hAnsi="Myriad Pro"/>
                <w:b/>
                <w:sz w:val="24"/>
                <w:szCs w:val="24"/>
              </w:rPr>
              <w:t xml:space="preserve"> to ensure learning is embedded into planning, practice and learning and development.</w:t>
            </w:r>
          </w:p>
          <w:p w:rsidR="00B042FD" w:rsidRDefault="00B042F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042FD" w:rsidRPr="00064344" w:rsidTr="00372F1C">
        <w:trPr>
          <w:trHeight w:val="420"/>
        </w:trPr>
        <w:tc>
          <w:tcPr>
            <w:tcW w:w="9242" w:type="dxa"/>
            <w:gridSpan w:val="2"/>
            <w:shd w:val="clear" w:color="auto" w:fill="auto"/>
          </w:tcPr>
          <w:p w:rsidR="00B042FD" w:rsidRDefault="00B042FD">
            <w:pPr>
              <w:rPr>
                <w:rFonts w:ascii="Myriad Pro" w:hAnsi="Myriad Pro"/>
                <w:sz w:val="24"/>
                <w:szCs w:val="24"/>
              </w:rPr>
            </w:pPr>
          </w:p>
          <w:p w:rsidR="00B042FD" w:rsidRPr="00B042FD" w:rsidRDefault="00B042FD" w:rsidP="00B042FD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4"/>
                <w:szCs w:val="24"/>
              </w:rPr>
            </w:pPr>
          </w:p>
          <w:p w:rsidR="00B042FD" w:rsidRPr="000E5267" w:rsidRDefault="00B042FD" w:rsidP="000E5267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4"/>
                <w:szCs w:val="24"/>
              </w:rPr>
            </w:pPr>
          </w:p>
          <w:p w:rsidR="00B042FD" w:rsidRDefault="00B042FD">
            <w:pPr>
              <w:rPr>
                <w:rFonts w:ascii="Myriad Pro" w:hAnsi="Myriad Pro"/>
                <w:sz w:val="24"/>
                <w:szCs w:val="24"/>
              </w:rPr>
            </w:pPr>
          </w:p>
          <w:p w:rsidR="000E5267" w:rsidRDefault="000E5267">
            <w:pPr>
              <w:rPr>
                <w:rFonts w:ascii="Myriad Pro" w:hAnsi="Myriad Pro"/>
                <w:sz w:val="24"/>
                <w:szCs w:val="24"/>
              </w:rPr>
            </w:pPr>
          </w:p>
          <w:p w:rsidR="000E5267" w:rsidRDefault="000E5267">
            <w:pPr>
              <w:rPr>
                <w:rFonts w:ascii="Myriad Pro" w:hAnsi="Myriad Pro"/>
                <w:sz w:val="24"/>
                <w:szCs w:val="24"/>
              </w:rPr>
            </w:pPr>
          </w:p>
          <w:p w:rsidR="000E5267" w:rsidRDefault="000E5267">
            <w:pPr>
              <w:rPr>
                <w:rFonts w:ascii="Myriad Pro" w:hAnsi="Myriad Pro"/>
                <w:sz w:val="24"/>
                <w:szCs w:val="24"/>
              </w:rPr>
            </w:pPr>
          </w:p>
          <w:p w:rsidR="000E5267" w:rsidRDefault="000E5267">
            <w:pPr>
              <w:rPr>
                <w:rFonts w:ascii="Myriad Pro" w:hAnsi="Myriad Pro"/>
                <w:sz w:val="24"/>
                <w:szCs w:val="24"/>
              </w:rPr>
            </w:pPr>
          </w:p>
          <w:p w:rsidR="000E5267" w:rsidRDefault="000E5267">
            <w:pPr>
              <w:rPr>
                <w:rFonts w:ascii="Myriad Pro" w:hAnsi="Myriad Pro"/>
                <w:sz w:val="24"/>
                <w:szCs w:val="24"/>
              </w:rPr>
            </w:pPr>
          </w:p>
          <w:p w:rsidR="000E5267" w:rsidRDefault="000E5267">
            <w:pPr>
              <w:rPr>
                <w:rFonts w:ascii="Myriad Pro" w:hAnsi="Myriad Pro"/>
                <w:sz w:val="24"/>
                <w:szCs w:val="24"/>
              </w:rPr>
            </w:pPr>
          </w:p>
          <w:p w:rsidR="000E5267" w:rsidRDefault="000E526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8607D" w:rsidRPr="00064344" w:rsidTr="002E7C6A">
        <w:tc>
          <w:tcPr>
            <w:tcW w:w="9242" w:type="dxa"/>
            <w:gridSpan w:val="2"/>
            <w:shd w:val="clear" w:color="auto" w:fill="D9D9D9" w:themeFill="background1" w:themeFillShade="D9"/>
          </w:tcPr>
          <w:p w:rsidR="00FC011D" w:rsidRDefault="00FC011D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68607D" w:rsidRDefault="0068607D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64344">
              <w:rPr>
                <w:rFonts w:ascii="Myriad Pro" w:hAnsi="Myriad Pro"/>
                <w:b/>
                <w:sz w:val="24"/>
                <w:szCs w:val="24"/>
              </w:rPr>
              <w:t>Useful References/Further Reading</w:t>
            </w:r>
          </w:p>
          <w:p w:rsidR="00FC011D" w:rsidRPr="00064344" w:rsidRDefault="00FC011D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68607D" w:rsidRPr="00064344" w:rsidTr="00131D7C">
        <w:trPr>
          <w:trHeight w:val="2279"/>
        </w:trPr>
        <w:tc>
          <w:tcPr>
            <w:tcW w:w="9242" w:type="dxa"/>
            <w:gridSpan w:val="2"/>
          </w:tcPr>
          <w:p w:rsidR="0068607D" w:rsidRPr="00064344" w:rsidRDefault="0068607D">
            <w:pPr>
              <w:rPr>
                <w:rFonts w:ascii="Myriad Pro" w:hAnsi="Myriad Pro"/>
                <w:sz w:val="24"/>
                <w:szCs w:val="24"/>
              </w:rPr>
            </w:pPr>
          </w:p>
          <w:p w:rsidR="0068607D" w:rsidRPr="00064344" w:rsidRDefault="00487378" w:rsidP="0068607D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[Link to full SCR report.]</w:t>
            </w:r>
          </w:p>
          <w:p w:rsidR="0068607D" w:rsidRPr="00064344" w:rsidRDefault="0068607D">
            <w:pPr>
              <w:rPr>
                <w:rFonts w:ascii="Myriad Pro" w:hAnsi="Myriad Pro"/>
                <w:sz w:val="24"/>
                <w:szCs w:val="24"/>
              </w:rPr>
            </w:pPr>
          </w:p>
          <w:p w:rsidR="0068607D" w:rsidRDefault="00487378" w:rsidP="00487378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[Links to research or other resources on the themes of the SCR.]</w:t>
            </w:r>
          </w:p>
          <w:p w:rsidR="00487378" w:rsidRPr="00487378" w:rsidRDefault="00487378" w:rsidP="00487378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:rsidR="00487378" w:rsidRPr="00487378" w:rsidRDefault="00487378" w:rsidP="00487378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[Links to organisations/agencies that provide support to families and/or practitioners in relation to the identified themes.]</w:t>
            </w:r>
          </w:p>
          <w:p w:rsidR="0068607D" w:rsidRDefault="0068607D">
            <w:pPr>
              <w:rPr>
                <w:rFonts w:ascii="Myriad Pro" w:hAnsi="Myriad Pro"/>
                <w:sz w:val="24"/>
                <w:szCs w:val="24"/>
              </w:rPr>
            </w:pPr>
          </w:p>
          <w:p w:rsidR="00380160" w:rsidRDefault="00380160">
            <w:pPr>
              <w:rPr>
                <w:rFonts w:ascii="Myriad Pro" w:hAnsi="Myriad Pro"/>
                <w:sz w:val="24"/>
                <w:szCs w:val="24"/>
              </w:rPr>
            </w:pPr>
          </w:p>
          <w:p w:rsidR="00FC011D" w:rsidRDefault="00FC011D">
            <w:pPr>
              <w:rPr>
                <w:rFonts w:ascii="Myriad Pro" w:hAnsi="Myriad Pro"/>
                <w:sz w:val="24"/>
                <w:szCs w:val="24"/>
              </w:rPr>
            </w:pPr>
          </w:p>
          <w:p w:rsidR="00380160" w:rsidRPr="00064344" w:rsidRDefault="00380160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61D19" w:rsidRPr="00064344" w:rsidTr="009F2933">
        <w:trPr>
          <w:trHeight w:val="280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161D19" w:rsidRPr="009F2933" w:rsidRDefault="00161D19" w:rsidP="00161D19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9F2933">
              <w:rPr>
                <w:rFonts w:ascii="Myriad Pro" w:hAnsi="Myriad Pro"/>
                <w:b/>
                <w:sz w:val="24"/>
                <w:szCs w:val="24"/>
              </w:rPr>
              <w:t>Further Information</w:t>
            </w:r>
          </w:p>
        </w:tc>
      </w:tr>
      <w:tr w:rsidR="00161D19" w:rsidRPr="00064344" w:rsidTr="00E62D28">
        <w:trPr>
          <w:trHeight w:val="1605"/>
        </w:trPr>
        <w:tc>
          <w:tcPr>
            <w:tcW w:w="9242" w:type="dxa"/>
            <w:gridSpan w:val="2"/>
          </w:tcPr>
          <w:p w:rsidR="00161D19" w:rsidRDefault="00161D19" w:rsidP="00C05766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  <w:p w:rsidR="00161D19" w:rsidRDefault="00161D19" w:rsidP="00C05766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064344">
              <w:rPr>
                <w:rFonts w:ascii="Myriad Pro" w:hAnsi="Myriad Pro"/>
                <w:sz w:val="24"/>
                <w:szCs w:val="24"/>
              </w:rPr>
              <w:t xml:space="preserve">For </w:t>
            </w:r>
            <w:r>
              <w:rPr>
                <w:rFonts w:ascii="Myriad Pro" w:hAnsi="Myriad Pro"/>
                <w:sz w:val="24"/>
                <w:szCs w:val="24"/>
              </w:rPr>
              <w:t>further information on the</w:t>
            </w:r>
            <w:r w:rsidRPr="00064344">
              <w:rPr>
                <w:rFonts w:ascii="Myriad Pro" w:hAnsi="Myriad Pro"/>
                <w:sz w:val="24"/>
                <w:szCs w:val="24"/>
              </w:rPr>
              <w:t xml:space="preserve"> SCR</w:t>
            </w:r>
            <w:r>
              <w:rPr>
                <w:rFonts w:ascii="Myriad Pro" w:hAnsi="Myriad Pro"/>
                <w:sz w:val="24"/>
                <w:szCs w:val="24"/>
              </w:rPr>
              <w:t xml:space="preserve"> related to this briefing</w:t>
            </w:r>
            <w:r w:rsidRPr="00064344">
              <w:rPr>
                <w:rFonts w:ascii="Myriad Pro" w:hAnsi="Myriad Pro"/>
                <w:sz w:val="24"/>
                <w:szCs w:val="24"/>
              </w:rPr>
              <w:t xml:space="preserve">, please contact Redbridge LSCB via </w:t>
            </w:r>
            <w:hyperlink r:id="rId15" w:history="1">
              <w:r w:rsidRPr="00064344">
                <w:rPr>
                  <w:rStyle w:val="Hyperlink"/>
                  <w:rFonts w:ascii="Myriad Pro" w:hAnsi="Myriad Pro"/>
                  <w:sz w:val="24"/>
                  <w:szCs w:val="24"/>
                </w:rPr>
                <w:t>LSCB@redbridge.gov.uk</w:t>
              </w:r>
            </w:hyperlink>
            <w:r w:rsidR="00C0386F">
              <w:rPr>
                <w:rFonts w:ascii="Myriad Pro" w:hAnsi="Myriad Pro"/>
                <w:sz w:val="24"/>
                <w:szCs w:val="24"/>
              </w:rPr>
              <w:t xml:space="preserve"> or call the LSCB Business Manager on 020 8708 5282</w:t>
            </w:r>
            <w:r w:rsidRPr="00064344">
              <w:rPr>
                <w:rFonts w:ascii="Myriad Pro" w:hAnsi="Myriad Pro"/>
                <w:sz w:val="24"/>
                <w:szCs w:val="24"/>
              </w:rPr>
              <w:t>.</w:t>
            </w:r>
            <w:r>
              <w:rPr>
                <w:rFonts w:ascii="Myriad Pro" w:hAnsi="Myriad Pro"/>
                <w:sz w:val="24"/>
                <w:szCs w:val="24"/>
              </w:rPr>
              <w:t xml:space="preserve">  For information relating to training courses linked to the themes in the SCR, please view the </w:t>
            </w:r>
            <w:r w:rsidR="002D6FAF">
              <w:rPr>
                <w:rFonts w:ascii="Myriad Pro" w:hAnsi="Myriad Pro"/>
                <w:sz w:val="24"/>
                <w:szCs w:val="24"/>
              </w:rPr>
              <w:t xml:space="preserve">Redbridge LSCB </w:t>
            </w:r>
            <w:hyperlink r:id="rId16" w:history="1">
              <w:r w:rsidR="002D6FAF" w:rsidRPr="002D6FAF">
                <w:rPr>
                  <w:rStyle w:val="Hyperlink"/>
                  <w:rFonts w:ascii="Myriad Pro" w:hAnsi="Myriad Pro"/>
                  <w:sz w:val="24"/>
                  <w:szCs w:val="24"/>
                </w:rPr>
                <w:t>website</w:t>
              </w:r>
            </w:hyperlink>
            <w:r w:rsidR="002D6FAF">
              <w:rPr>
                <w:rFonts w:ascii="Myriad Pro" w:hAnsi="Myriad Pro"/>
                <w:sz w:val="24"/>
                <w:szCs w:val="24"/>
              </w:rPr>
              <w:t>.</w:t>
            </w:r>
            <w:r w:rsidR="005611AB">
              <w:rPr>
                <w:rFonts w:ascii="Myriad Pro" w:hAnsi="Myriad Pro"/>
                <w:sz w:val="24"/>
                <w:szCs w:val="24"/>
              </w:rPr>
              <w:t xml:space="preserve">  </w:t>
            </w:r>
          </w:p>
          <w:p w:rsidR="005611AB" w:rsidRDefault="005611AB" w:rsidP="00C05766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  <w:p w:rsidR="005611AB" w:rsidRDefault="005611AB" w:rsidP="00C05766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SCRs published nationally can all be viewed via the </w:t>
            </w:r>
            <w:hyperlink r:id="rId17" w:history="1">
              <w:r w:rsidRPr="005611AB">
                <w:rPr>
                  <w:rStyle w:val="Hyperlink"/>
                  <w:rFonts w:ascii="Myriad Pro" w:hAnsi="Myriad Pro"/>
                  <w:sz w:val="24"/>
                  <w:szCs w:val="24"/>
                </w:rPr>
                <w:t>NSPCC SCR Repository</w:t>
              </w:r>
            </w:hyperlink>
            <w:r>
              <w:rPr>
                <w:rFonts w:ascii="Myriad Pro" w:hAnsi="Myriad Pro"/>
                <w:sz w:val="24"/>
                <w:szCs w:val="24"/>
              </w:rPr>
              <w:t>.</w:t>
            </w:r>
            <w:r w:rsidR="006D5B51">
              <w:rPr>
                <w:rFonts w:ascii="Myriad Pro" w:hAnsi="Myriad Pro"/>
                <w:sz w:val="24"/>
                <w:szCs w:val="24"/>
              </w:rPr>
              <w:t xml:space="preserve">  SCRs can be searched by year or theme.  Also available are a series of </w:t>
            </w:r>
            <w:hyperlink r:id="rId18" w:history="1">
              <w:r w:rsidR="006D5B51" w:rsidRPr="006D5B51">
                <w:rPr>
                  <w:rStyle w:val="Hyperlink"/>
                  <w:rFonts w:ascii="Myriad Pro" w:hAnsi="Myriad Pro"/>
                  <w:sz w:val="24"/>
                  <w:szCs w:val="24"/>
                </w:rPr>
                <w:t>thematic briefings</w:t>
              </w:r>
            </w:hyperlink>
            <w:r w:rsidR="006D5B51">
              <w:rPr>
                <w:rFonts w:ascii="Myriad Pro" w:hAnsi="Myriad Pro"/>
                <w:sz w:val="24"/>
                <w:szCs w:val="24"/>
              </w:rPr>
              <w:t xml:space="preserve"> from the NSPCC on learning from case reviews.</w:t>
            </w:r>
          </w:p>
          <w:p w:rsidR="00161D19" w:rsidRDefault="00161D19">
            <w:pPr>
              <w:rPr>
                <w:rFonts w:ascii="Myriad Pro" w:hAnsi="Myriad Pro"/>
                <w:sz w:val="24"/>
                <w:szCs w:val="24"/>
              </w:rPr>
            </w:pPr>
          </w:p>
          <w:p w:rsidR="00161D19" w:rsidRDefault="00C0386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When SCRs are first published, links are usually made available via Redbridge LSCB Twitter </w:t>
            </w:r>
            <w:hyperlink r:id="rId19" w:history="1">
              <w:r w:rsidRPr="00C0386F">
                <w:rPr>
                  <w:rStyle w:val="Hyperlink"/>
                  <w:rFonts w:ascii="Myriad Pro" w:hAnsi="Myriad Pro"/>
                  <w:sz w:val="24"/>
                  <w:szCs w:val="24"/>
                </w:rPr>
                <w:t>@</w:t>
              </w:r>
              <w:proofErr w:type="spellStart"/>
              <w:r w:rsidRPr="00C0386F">
                <w:rPr>
                  <w:rStyle w:val="Hyperlink"/>
                  <w:rFonts w:ascii="Myriad Pro" w:hAnsi="Myriad Pro"/>
                  <w:sz w:val="24"/>
                  <w:szCs w:val="24"/>
                </w:rPr>
                <w:t>RedbridgeLSCB</w:t>
              </w:r>
              <w:proofErr w:type="spellEnd"/>
            </w:hyperlink>
            <w:r>
              <w:rPr>
                <w:rFonts w:ascii="Myriad Pro" w:hAnsi="Myriad Pro"/>
                <w:sz w:val="24"/>
                <w:szCs w:val="24"/>
              </w:rPr>
              <w:t xml:space="preserve">. </w:t>
            </w:r>
          </w:p>
          <w:p w:rsidR="00161D19" w:rsidRDefault="00161D19" w:rsidP="00161D1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68607D" w:rsidRPr="00064344" w:rsidRDefault="0068607D">
      <w:pPr>
        <w:rPr>
          <w:rFonts w:ascii="Myriad Pro" w:hAnsi="Myriad Pro"/>
          <w:sz w:val="24"/>
          <w:szCs w:val="24"/>
        </w:rPr>
      </w:pPr>
    </w:p>
    <w:sectPr w:rsidR="0068607D" w:rsidRPr="0006434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4E" w:rsidRDefault="00570B4E" w:rsidP="00570B4E">
      <w:pPr>
        <w:spacing w:after="0" w:line="240" w:lineRule="auto"/>
      </w:pPr>
      <w:r>
        <w:separator/>
      </w:r>
    </w:p>
  </w:endnote>
  <w:endnote w:type="continuationSeparator" w:id="0">
    <w:p w:rsidR="00570B4E" w:rsidRDefault="00570B4E" w:rsidP="0057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C0" w:rsidRDefault="00CE2E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5944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0B4E" w:rsidRDefault="00570B4E">
            <w:pPr>
              <w:pStyle w:val="Footer"/>
              <w:jc w:val="right"/>
            </w:pPr>
            <w:r w:rsidRPr="00570B4E">
              <w:t xml:space="preserve">Page </w:t>
            </w:r>
            <w:r w:rsidRPr="00570B4E">
              <w:rPr>
                <w:b/>
                <w:bCs/>
              </w:rPr>
              <w:fldChar w:fldCharType="begin"/>
            </w:r>
            <w:r w:rsidRPr="00570B4E">
              <w:rPr>
                <w:b/>
                <w:bCs/>
              </w:rPr>
              <w:instrText xml:space="preserve"> PAGE </w:instrText>
            </w:r>
            <w:r w:rsidRPr="00570B4E">
              <w:rPr>
                <w:b/>
                <w:bCs/>
              </w:rPr>
              <w:fldChar w:fldCharType="separate"/>
            </w:r>
            <w:r w:rsidR="00730535">
              <w:rPr>
                <w:b/>
                <w:bCs/>
                <w:noProof/>
              </w:rPr>
              <w:t>1</w:t>
            </w:r>
            <w:r w:rsidRPr="00570B4E">
              <w:rPr>
                <w:b/>
                <w:bCs/>
              </w:rPr>
              <w:fldChar w:fldCharType="end"/>
            </w:r>
            <w:r w:rsidRPr="00570B4E">
              <w:t xml:space="preserve"> of </w:t>
            </w:r>
            <w:r w:rsidRPr="00570B4E">
              <w:rPr>
                <w:b/>
                <w:bCs/>
              </w:rPr>
              <w:fldChar w:fldCharType="begin"/>
            </w:r>
            <w:r w:rsidRPr="00570B4E">
              <w:rPr>
                <w:b/>
                <w:bCs/>
              </w:rPr>
              <w:instrText xml:space="preserve"> NUMPAGES  </w:instrText>
            </w:r>
            <w:r w:rsidRPr="00570B4E">
              <w:rPr>
                <w:b/>
                <w:bCs/>
              </w:rPr>
              <w:fldChar w:fldCharType="separate"/>
            </w:r>
            <w:r w:rsidR="00730535">
              <w:rPr>
                <w:b/>
                <w:bCs/>
                <w:noProof/>
              </w:rPr>
              <w:t>3</w:t>
            </w:r>
            <w:r w:rsidRPr="00570B4E">
              <w:rPr>
                <w:b/>
                <w:bCs/>
              </w:rPr>
              <w:fldChar w:fldCharType="end"/>
            </w:r>
          </w:p>
        </w:sdtContent>
      </w:sdt>
    </w:sdtContent>
  </w:sdt>
  <w:p w:rsidR="00570B4E" w:rsidRDefault="00570B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C0" w:rsidRDefault="00CE2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4E" w:rsidRDefault="00570B4E" w:rsidP="00570B4E">
      <w:pPr>
        <w:spacing w:after="0" w:line="240" w:lineRule="auto"/>
      </w:pPr>
      <w:r>
        <w:separator/>
      </w:r>
    </w:p>
  </w:footnote>
  <w:footnote w:type="continuationSeparator" w:id="0">
    <w:p w:rsidR="00570B4E" w:rsidRDefault="00570B4E" w:rsidP="0057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C0" w:rsidRDefault="00BE5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08454" o:spid="_x0000_s2051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4E" w:rsidRDefault="00BE5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08455" o:spid="_x0000_s2052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C0" w:rsidRDefault="00BE5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08453" o:spid="_x0000_s2050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05C4"/>
    <w:multiLevelType w:val="hybridMultilevel"/>
    <w:tmpl w:val="7640E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4555A"/>
    <w:multiLevelType w:val="hybridMultilevel"/>
    <w:tmpl w:val="F606E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3F"/>
    <w:rsid w:val="00064344"/>
    <w:rsid w:val="000858D1"/>
    <w:rsid w:val="000E5267"/>
    <w:rsid w:val="00104E3F"/>
    <w:rsid w:val="00131D7C"/>
    <w:rsid w:val="00150FDC"/>
    <w:rsid w:val="00161D19"/>
    <w:rsid w:val="002D6FAF"/>
    <w:rsid w:val="002E7C6A"/>
    <w:rsid w:val="002F028B"/>
    <w:rsid w:val="00380160"/>
    <w:rsid w:val="00481F23"/>
    <w:rsid w:val="00487378"/>
    <w:rsid w:val="004A2517"/>
    <w:rsid w:val="004F658D"/>
    <w:rsid w:val="0055702F"/>
    <w:rsid w:val="005611AB"/>
    <w:rsid w:val="00562434"/>
    <w:rsid w:val="00570B4E"/>
    <w:rsid w:val="006321A2"/>
    <w:rsid w:val="0068607D"/>
    <w:rsid w:val="006B6D17"/>
    <w:rsid w:val="006D5B51"/>
    <w:rsid w:val="00730535"/>
    <w:rsid w:val="00790C12"/>
    <w:rsid w:val="008161EA"/>
    <w:rsid w:val="008377D6"/>
    <w:rsid w:val="008631F3"/>
    <w:rsid w:val="008F2D5E"/>
    <w:rsid w:val="009255AF"/>
    <w:rsid w:val="0099554F"/>
    <w:rsid w:val="009D17D7"/>
    <w:rsid w:val="009F2933"/>
    <w:rsid w:val="00A172CA"/>
    <w:rsid w:val="00A372DA"/>
    <w:rsid w:val="00B0006D"/>
    <w:rsid w:val="00B042FD"/>
    <w:rsid w:val="00BB10F4"/>
    <w:rsid w:val="00BE52D6"/>
    <w:rsid w:val="00C0386F"/>
    <w:rsid w:val="00C05766"/>
    <w:rsid w:val="00C56AF4"/>
    <w:rsid w:val="00CA046C"/>
    <w:rsid w:val="00CE2EC0"/>
    <w:rsid w:val="00E05307"/>
    <w:rsid w:val="00F66E00"/>
    <w:rsid w:val="00F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B4E"/>
  </w:style>
  <w:style w:type="paragraph" w:styleId="Footer">
    <w:name w:val="footer"/>
    <w:basedOn w:val="Normal"/>
    <w:link w:val="FooterChar"/>
    <w:uiPriority w:val="99"/>
    <w:unhideWhenUsed/>
    <w:rsid w:val="0057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B4E"/>
  </w:style>
  <w:style w:type="character" w:styleId="Hyperlink">
    <w:name w:val="Hyperlink"/>
    <w:basedOn w:val="DefaultParagraphFont"/>
    <w:uiPriority w:val="99"/>
    <w:unhideWhenUsed/>
    <w:rsid w:val="009955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B4E"/>
  </w:style>
  <w:style w:type="paragraph" w:styleId="Footer">
    <w:name w:val="footer"/>
    <w:basedOn w:val="Normal"/>
    <w:link w:val="FooterChar"/>
    <w:uiPriority w:val="99"/>
    <w:unhideWhenUsed/>
    <w:rsid w:val="0057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B4E"/>
  </w:style>
  <w:style w:type="character" w:styleId="Hyperlink">
    <w:name w:val="Hyperlink"/>
    <w:basedOn w:val="DefaultParagraphFont"/>
    <w:uiPriority w:val="99"/>
    <w:unhideWhenUsed/>
    <w:rsid w:val="009955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lideshare.net/UHPS/professional-dangerousness-in-child-protection" TargetMode="External"/><Relationship Id="rId18" Type="http://schemas.openxmlformats.org/officeDocument/2006/relationships/hyperlink" Target="https://www.nspcc.org.uk/preventing-abuse/child-protection-system/case-reviews/learning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nspcc.org.uk/globalassets/documents/information-service/factsheet-disguised-compliance1.pdf" TargetMode="External"/><Relationship Id="rId17" Type="http://schemas.openxmlformats.org/officeDocument/2006/relationships/hyperlink" Target="https://www.nspcc.org.uk/preventing-abuse/child-protection-system/case-reviews/national-case-review-repository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redbridgelscb.org.uk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SCB@redbridge.gov.uk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LSCB@redbridge.gov.uk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.uk/government/publications/working-together-to-safeguard-children--2" TargetMode="External"/><Relationship Id="rId19" Type="http://schemas.openxmlformats.org/officeDocument/2006/relationships/hyperlink" Target="https://twitter.com/redbridgelsc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si/2006/90/pdfs/uksi_20060090_en.pdf" TargetMode="External"/><Relationship Id="rId14" Type="http://schemas.openxmlformats.org/officeDocument/2006/relationships/hyperlink" Target="http://www.mheffernan.com/book-wb-reviews6.s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Perry</dc:creator>
  <cp:lastModifiedBy>Lesley Perry</cp:lastModifiedBy>
  <cp:revision>3</cp:revision>
  <dcterms:created xsi:type="dcterms:W3CDTF">2016-09-26T11:19:00Z</dcterms:created>
  <dcterms:modified xsi:type="dcterms:W3CDTF">2016-09-26T11:22:00Z</dcterms:modified>
</cp:coreProperties>
</file>